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c59c30f7f44b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TWENTYFIVE9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TWENTYFIVE9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e2fd726ef54da8"/>
      <w:footerReference xmlns:r="http://schemas.openxmlformats.org/officeDocument/2006/relationships" w:type="default" r:id="Re1d7e7825db74b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TWENTYFIVE9 INVEST AS   ·   Org.nr 898 186 202   ·   Krægeveien 12   ·   4640 SØGNE   ·   bj.lille@me.com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TWENTYFIVE9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e2fd726ef54da8" /><Relationship Type="http://schemas.openxmlformats.org/officeDocument/2006/relationships/footer" Target="/word/footer1.xml" Id="Re1d7e7825db74b51" /></Relationships>
</file>